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8490" w14:textId="77777777" w:rsidR="00AB2E22" w:rsidRDefault="00000000">
      <w:pPr>
        <w:pStyle w:val="berschrift1"/>
      </w:pPr>
      <w:r>
        <w:t>Auswertung der Wareneingangsliste mit Fehler- und Annahmequote</w:t>
      </w:r>
    </w:p>
    <w:p w14:paraId="15EB1C14" w14:textId="77777777" w:rsidR="000359E5" w:rsidRDefault="00000000" w:rsidP="000359E5">
      <w:pPr>
        <w:rPr>
          <w:rFonts w:ascii="Calibri Light" w:hAnsi="Calibri Light"/>
          <w:sz w:val="22"/>
          <w:szCs w:val="22"/>
        </w:rPr>
      </w:pPr>
      <w:r>
        <w:rPr>
          <w:rFonts w:ascii="Calibri Light" w:hAnsi="Calibri Light"/>
          <w:sz w:val="22"/>
          <w:szCs w:val="22"/>
        </w:rPr>
        <w:t xml:space="preserve">Die Liste der Wareneingänge bietet Ihnen einen Überblick über die einzelnen Prüfentscheide und die Annahme- und Fehlerquoten bei der Wareneingangsprüfung. Die Prüfentscheide sind farblich hervorgehoben. Sie können die Liste über die Eingabefelder nach beliebigen Zeiträumen filtern oder die Auswahl auf bestimmte Lieferanten oder Artikelgruppen einschränken. Weiterhin können Sie die Tabelle durch </w:t>
      </w:r>
      <w:r w:rsidR="00027EC0">
        <w:rPr>
          <w:rFonts w:ascii="Calibri Light" w:hAnsi="Calibri Light"/>
          <w:sz w:val="22"/>
          <w:szCs w:val="22"/>
        </w:rPr>
        <w:t>Anklicken</w:t>
      </w:r>
      <w:r>
        <w:rPr>
          <w:rFonts w:ascii="Calibri Light" w:hAnsi="Calibri Light"/>
          <w:sz w:val="22"/>
          <w:szCs w:val="22"/>
        </w:rPr>
        <w:t xml:space="preserve"> einer Spaltenüberschrift nach dieser Spalte sortieren und somit zum Beispiel alle abgelehnten Wareneingänge oben auf der Liste darstellen, sofern diese existieren.</w:t>
      </w:r>
    </w:p>
    <w:p w14:paraId="361B557A" w14:textId="77A0E961" w:rsidR="00AB2E22" w:rsidRPr="000359E5" w:rsidRDefault="000359E5">
      <w:pPr>
        <w:rPr>
          <w:rFonts w:hint="eastAsia"/>
        </w:rPr>
      </w:pPr>
      <w:r>
        <w:rPr>
          <w:noProof/>
        </w:rPr>
        <mc:AlternateContent>
          <mc:Choice Requires="wps">
            <w:drawing>
              <wp:anchor distT="0" distB="0" distL="114300" distR="114300" simplePos="0" relativeHeight="251659264" behindDoc="0" locked="0" layoutInCell="1" allowOverlap="1" wp14:anchorId="2D069D74" wp14:editId="5E797702">
                <wp:simplePos x="0" y="0"/>
                <wp:positionH relativeFrom="column">
                  <wp:posOffset>0</wp:posOffset>
                </wp:positionH>
                <wp:positionV relativeFrom="paragraph">
                  <wp:posOffset>3754755</wp:posOffset>
                </wp:positionV>
                <wp:extent cx="6120130" cy="635"/>
                <wp:effectExtent l="0" t="0" r="0" b="0"/>
                <wp:wrapTopAndBottom/>
                <wp:docPr id="4" name="Textfeld 4"/>
                <wp:cNvGraphicFramePr/>
                <a:graphic xmlns:a="http://schemas.openxmlformats.org/drawingml/2006/main">
                  <a:graphicData uri="http://schemas.microsoft.com/office/word/2010/wordprocessingShape">
                    <wps:wsp>
                      <wps:cNvSpPr txBox="1"/>
                      <wps:spPr>
                        <a:xfrm>
                          <a:off x="0" y="0"/>
                          <a:ext cx="6120130" cy="635"/>
                        </a:xfrm>
                        <a:prstGeom prst="rect">
                          <a:avLst/>
                        </a:prstGeom>
                        <a:solidFill>
                          <a:prstClr val="white"/>
                        </a:solidFill>
                        <a:ln>
                          <a:noFill/>
                        </a:ln>
                      </wps:spPr>
                      <wps:txbx>
                        <w:txbxContent>
                          <w:p w14:paraId="2BA4CC20" w14:textId="106DF76B" w:rsidR="000359E5" w:rsidRPr="000359E5" w:rsidRDefault="000359E5" w:rsidP="000359E5">
                            <w:pPr>
                              <w:pStyle w:val="Beschriftung"/>
                              <w:rPr>
                                <w:i/>
                                <w:iCs/>
                                <w:noProof/>
                                <w:color w:val="374C80"/>
                                <w:sz w:val="18"/>
                                <w:szCs w:val="18"/>
                              </w:rPr>
                            </w:pPr>
                            <w:r w:rsidRPr="000359E5">
                              <w:rPr>
                                <w:i/>
                                <w:iCs/>
                                <w:color w:val="374C80"/>
                                <w:sz w:val="18"/>
                                <w:szCs w:val="18"/>
                              </w:rPr>
                              <w:t xml:space="preserve">Abbildung </w:t>
                            </w:r>
                            <w:r w:rsidRPr="000359E5">
                              <w:rPr>
                                <w:i/>
                                <w:iCs/>
                                <w:color w:val="374C80"/>
                                <w:sz w:val="18"/>
                                <w:szCs w:val="18"/>
                              </w:rPr>
                              <w:fldChar w:fldCharType="begin"/>
                            </w:r>
                            <w:r w:rsidRPr="000359E5">
                              <w:rPr>
                                <w:i/>
                                <w:iCs/>
                                <w:color w:val="374C80"/>
                                <w:sz w:val="18"/>
                                <w:szCs w:val="18"/>
                              </w:rPr>
                              <w:instrText xml:space="preserve"> SEQ Abbildung \* ARABIC </w:instrText>
                            </w:r>
                            <w:r w:rsidRPr="000359E5">
                              <w:rPr>
                                <w:i/>
                                <w:iCs/>
                                <w:color w:val="374C80"/>
                                <w:sz w:val="18"/>
                                <w:szCs w:val="18"/>
                              </w:rPr>
                              <w:fldChar w:fldCharType="separate"/>
                            </w:r>
                            <w:r w:rsidR="005F2808">
                              <w:rPr>
                                <w:i/>
                                <w:iCs/>
                                <w:noProof/>
                                <w:color w:val="374C80"/>
                                <w:sz w:val="18"/>
                                <w:szCs w:val="18"/>
                              </w:rPr>
                              <w:t>1</w:t>
                            </w:r>
                            <w:r w:rsidRPr="000359E5">
                              <w:rPr>
                                <w:i/>
                                <w:iCs/>
                                <w:color w:val="374C80"/>
                                <w:sz w:val="18"/>
                                <w:szCs w:val="18"/>
                              </w:rPr>
                              <w:fldChar w:fldCharType="end"/>
                            </w:r>
                            <w:r w:rsidRPr="000359E5">
                              <w:rPr>
                                <w:i/>
                                <w:iCs/>
                                <w:color w:val="374C80"/>
                                <w:sz w:val="18"/>
                                <w:szCs w:val="18"/>
                              </w:rPr>
                              <w:t>: Wareneingangsauswertung mit Annahmequote, Fehlerquote und Diagrammen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D069D74" id="_x0000_t202" coordsize="21600,21600" o:spt="202" path="m,l,21600r21600,l21600,xe">
                <v:stroke joinstyle="miter"/>
                <v:path gradientshapeok="t" o:connecttype="rect"/>
              </v:shapetype>
              <v:shape id="Textfeld 4" o:spid="_x0000_s1026" type="#_x0000_t202" style="position:absolute;margin-left:0;margin-top:295.65pt;width:481.9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" stroked="f">
                <v:textbox style="mso-fit-shape-to-text:t" inset="0,0,0,0">
                  <w:txbxContent>
                    <w:p w14:paraId="2BA4CC20" w14:textId="106DF76B" w:rsidR="000359E5" w:rsidRPr="000359E5" w:rsidRDefault="000359E5" w:rsidP="000359E5">
                      <w:pPr>
                        <w:pStyle w:val="Beschriftung"/>
                        <w:rPr>
                          <w:i/>
                          <w:iCs/>
                          <w:noProof/>
                          <w:color w:val="374C80"/>
                          <w:sz w:val="18"/>
                          <w:szCs w:val="18"/>
                        </w:rPr>
                      </w:pPr>
                      <w:r w:rsidRPr="000359E5">
                        <w:rPr>
                          <w:i/>
                          <w:iCs/>
                          <w:color w:val="374C80"/>
                          <w:sz w:val="18"/>
                          <w:szCs w:val="18"/>
                        </w:rPr>
                        <w:t xml:space="preserve">Abbildung </w:t>
                      </w:r>
                      <w:r w:rsidRPr="000359E5">
                        <w:rPr>
                          <w:i/>
                          <w:iCs/>
                          <w:color w:val="374C80"/>
                          <w:sz w:val="18"/>
                          <w:szCs w:val="18"/>
                        </w:rPr>
                        <w:fldChar w:fldCharType="begin"/>
                      </w:r>
                      <w:r w:rsidRPr="000359E5">
                        <w:rPr>
                          <w:i/>
                          <w:iCs/>
                          <w:color w:val="374C80"/>
                          <w:sz w:val="18"/>
                          <w:szCs w:val="18"/>
                        </w:rPr>
                        <w:instrText xml:space="preserve"> SEQ Abbildung \* ARABIC </w:instrText>
                      </w:r>
                      <w:r w:rsidRPr="000359E5">
                        <w:rPr>
                          <w:i/>
                          <w:iCs/>
                          <w:color w:val="374C80"/>
                          <w:sz w:val="18"/>
                          <w:szCs w:val="18"/>
                        </w:rPr>
                        <w:fldChar w:fldCharType="separate"/>
                      </w:r>
                      <w:r w:rsidR="005F2808">
                        <w:rPr>
                          <w:i/>
                          <w:iCs/>
                          <w:noProof/>
                          <w:color w:val="374C80"/>
                          <w:sz w:val="18"/>
                          <w:szCs w:val="18"/>
                        </w:rPr>
                        <w:t>1</w:t>
                      </w:r>
                      <w:r w:rsidRPr="000359E5">
                        <w:rPr>
                          <w:i/>
                          <w:iCs/>
                          <w:color w:val="374C80"/>
                          <w:sz w:val="18"/>
                          <w:szCs w:val="18"/>
                        </w:rPr>
                        <w:fldChar w:fldCharType="end"/>
                      </w:r>
                      <w:r w:rsidRPr="000359E5">
                        <w:rPr>
                          <w:i/>
                          <w:iCs/>
                          <w:color w:val="374C80"/>
                          <w:sz w:val="18"/>
                          <w:szCs w:val="18"/>
                        </w:rPr>
                        <w:t>: Wareneingangsauswertung mit Annahmequote, Fehlerquote und Diagrammen</w:t>
                      </w:r>
                    </w:p>
                  </w:txbxContent>
                </v:textbox>
                <w10:wrap type="topAndBottom"/>
              </v:shape>
            </w:pict>
          </mc:Fallback>
        </mc:AlternateContent>
      </w:r>
      <w:r>
        <w:rPr>
          <w:noProof/>
        </w:rPr>
        <w:drawing>
          <wp:anchor distT="0" distB="0" distL="0" distR="0" simplePos="0" relativeHeight="2" behindDoc="0" locked="0" layoutInCell="0" allowOverlap="1" wp14:anchorId="703877EA" wp14:editId="415D3488">
            <wp:simplePos x="0" y="0"/>
            <wp:positionH relativeFrom="column">
              <wp:align>center</wp:align>
            </wp:positionH>
            <wp:positionV relativeFrom="paragraph">
              <wp:posOffset>635</wp:posOffset>
            </wp:positionV>
            <wp:extent cx="6120130" cy="3696970"/>
            <wp:effectExtent l="0" t="0" r="0" b="0"/>
            <wp:wrapTopAndBottom/>
            <wp:docPr id="1"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pic:cNvPicPr>
                      <a:picLocks noChangeAspect="1" noChangeArrowheads="1"/>
                    </pic:cNvPicPr>
                  </pic:nvPicPr>
                  <pic:blipFill>
                    <a:blip r:embed="rId7"/>
                    <a:stretch>
                      <a:fillRect/>
                    </a:stretch>
                  </pic:blipFill>
                  <pic:spPr bwMode="auto">
                    <a:xfrm>
                      <a:off x="0" y="0"/>
                      <a:ext cx="6120130" cy="3696970"/>
                    </a:xfrm>
                    <a:prstGeom prst="rect">
                      <a:avLst/>
                    </a:prstGeom>
                  </pic:spPr>
                </pic:pic>
              </a:graphicData>
            </a:graphic>
          </wp:anchor>
        </w:drawing>
      </w:r>
    </w:p>
    <w:p w14:paraId="51AB099A" w14:textId="77777777" w:rsidR="00AB2E22" w:rsidRDefault="00000000">
      <w:pPr>
        <w:rPr>
          <w:rFonts w:ascii="Calibri Light" w:hAnsi="Calibri Light"/>
          <w:color w:val="374C80"/>
          <w:sz w:val="26"/>
          <w:szCs w:val="26"/>
        </w:rPr>
      </w:pPr>
      <w:r>
        <w:rPr>
          <w:rFonts w:ascii="Calibri Light" w:hAnsi="Calibri Light"/>
          <w:color w:val="374C80"/>
          <w:sz w:val="26"/>
          <w:szCs w:val="26"/>
        </w:rPr>
        <w:t>Annahme- und Fehlerquote</w:t>
      </w:r>
    </w:p>
    <w:p w14:paraId="299C4272" w14:textId="77777777" w:rsidR="00AB2E22" w:rsidRDefault="00000000">
      <w:pPr>
        <w:rPr>
          <w:rFonts w:ascii="Calibri Light" w:hAnsi="Calibri Light"/>
          <w:sz w:val="22"/>
          <w:szCs w:val="22"/>
        </w:rPr>
      </w:pPr>
      <w:r>
        <w:rPr>
          <w:rFonts w:ascii="Calibri Light" w:hAnsi="Calibri Light"/>
          <w:sz w:val="22"/>
          <w:szCs w:val="22"/>
        </w:rPr>
        <w:t>In den Spaltenüberschriften sind unter anderem auch die Annahme- und Fehlerquote enthalten. Diese werden prozentual angezeigt und beziehen sich auf die momentane Filterauswahl, so dass sie entweder für alle oder für einen bestimmten Lieferanten oder Artikelgruppe berechnet werden.</w:t>
      </w:r>
    </w:p>
    <w:p w14:paraId="6AADDFA9" w14:textId="77777777" w:rsidR="00AB2E22" w:rsidRDefault="00AB2E22">
      <w:pPr>
        <w:rPr>
          <w:rFonts w:ascii="Calibri Light" w:hAnsi="Calibri Light"/>
          <w:sz w:val="22"/>
          <w:szCs w:val="22"/>
        </w:rPr>
      </w:pPr>
    </w:p>
    <w:p w14:paraId="2B6A44D7" w14:textId="77777777" w:rsidR="00AB2E22" w:rsidRDefault="00000000">
      <w:pPr>
        <w:rPr>
          <w:rFonts w:ascii="Calibri Light" w:hAnsi="Calibri Light"/>
          <w:color w:val="374C80"/>
          <w:sz w:val="26"/>
          <w:szCs w:val="26"/>
        </w:rPr>
      </w:pPr>
      <w:r>
        <w:rPr>
          <w:rFonts w:ascii="Calibri Light" w:hAnsi="Calibri Light"/>
          <w:color w:val="374C80"/>
          <w:sz w:val="26"/>
          <w:szCs w:val="26"/>
        </w:rPr>
        <w:t>Diagramme</w:t>
      </w:r>
    </w:p>
    <w:p w14:paraId="26DFBBE8" w14:textId="08331483" w:rsidR="00AB2E22" w:rsidRDefault="00000000">
      <w:pPr>
        <w:rPr>
          <w:rFonts w:ascii="Calibri Light" w:hAnsi="Calibri Light"/>
          <w:sz w:val="22"/>
          <w:szCs w:val="22"/>
        </w:rPr>
      </w:pPr>
      <w:r>
        <w:rPr>
          <w:rFonts w:ascii="Calibri Light" w:hAnsi="Calibri Light"/>
          <w:sz w:val="22"/>
          <w:szCs w:val="22"/>
        </w:rPr>
        <w:t>Bei Bedarf können Sie die Auswertung mit Diagrammen erweitern. Hierbei gibt es ein Kreisdiagramm, das die Verteilung der Prüfentscheide wiedergibt, ein Thermometer-Diagramm für die Annahmequote und ein Säulendiagramm für die Fehlerquote der Lieferanten. Die Diagramme gelten bezogen auf die momentane Filterauswahl und werden bei Änderungen aktualisiert.</w:t>
      </w:r>
    </w:p>
    <w:p w14:paraId="2AA6AC19" w14:textId="572511FF" w:rsidR="00027EC0" w:rsidRDefault="00027EC0">
      <w:pPr>
        <w:rPr>
          <w:rFonts w:ascii="Calibri Light" w:hAnsi="Calibri Light"/>
          <w:sz w:val="22"/>
          <w:szCs w:val="22"/>
        </w:rPr>
      </w:pPr>
    </w:p>
    <w:p w14:paraId="44305873" w14:textId="46459F50" w:rsidR="00027EC0" w:rsidRDefault="00027EC0" w:rsidP="00027EC0">
      <w:pPr>
        <w:pStyle w:val="berschrift1"/>
      </w:pPr>
      <w:r>
        <w:t>Fehlerauswertung</w:t>
      </w:r>
    </w:p>
    <w:p w14:paraId="0642BCE0" w14:textId="75940ECD" w:rsidR="00EF52E5" w:rsidRDefault="00027EC0">
      <w:pPr>
        <w:rPr>
          <w:rFonts w:ascii="Calibri Light" w:hAnsi="Calibri Light"/>
          <w:sz w:val="22"/>
          <w:szCs w:val="22"/>
        </w:rPr>
      </w:pPr>
      <w:r>
        <w:rPr>
          <w:rFonts w:ascii="Calibri Light" w:hAnsi="Calibri Light"/>
          <w:sz w:val="22"/>
          <w:szCs w:val="22"/>
        </w:rPr>
        <w:t>Die ähnlich</w:t>
      </w:r>
      <w:r w:rsidRPr="00027EC0">
        <w:rPr>
          <w:rFonts w:ascii="Calibri Light" w:hAnsi="Calibri Light"/>
          <w:sz w:val="22"/>
          <w:szCs w:val="22"/>
        </w:rPr>
        <w:t xml:space="preserve"> </w:t>
      </w:r>
      <w:r>
        <w:rPr>
          <w:rFonts w:ascii="Calibri Light" w:hAnsi="Calibri Light"/>
          <w:sz w:val="22"/>
          <w:szCs w:val="22"/>
        </w:rPr>
        <w:t>a</w:t>
      </w:r>
      <w:r w:rsidRPr="00027EC0">
        <w:rPr>
          <w:rFonts w:ascii="Calibri Light" w:hAnsi="Calibri Light"/>
          <w:sz w:val="22"/>
          <w:szCs w:val="22"/>
        </w:rPr>
        <w:t xml:space="preserve">ufgebaute Fehlerauswertung bietet </w:t>
      </w:r>
      <w:r>
        <w:rPr>
          <w:rFonts w:ascii="Calibri Light" w:hAnsi="Calibri Light"/>
          <w:sz w:val="22"/>
          <w:szCs w:val="22"/>
        </w:rPr>
        <w:t>Ih</w:t>
      </w:r>
      <w:r w:rsidRPr="00027EC0">
        <w:rPr>
          <w:rFonts w:ascii="Calibri Light" w:hAnsi="Calibri Light"/>
          <w:sz w:val="22"/>
          <w:szCs w:val="22"/>
        </w:rPr>
        <w:t xml:space="preserve">nen eine gleichartige </w:t>
      </w:r>
      <w:r w:rsidR="004247BC">
        <w:rPr>
          <w:rFonts w:ascii="Calibri Light" w:hAnsi="Calibri Light"/>
          <w:sz w:val="22"/>
          <w:szCs w:val="22"/>
        </w:rPr>
        <w:t>Filtermöglichkeiten</w:t>
      </w:r>
      <w:r w:rsidRPr="00027EC0">
        <w:rPr>
          <w:rFonts w:ascii="Calibri Light" w:hAnsi="Calibri Light"/>
          <w:sz w:val="22"/>
          <w:szCs w:val="22"/>
        </w:rPr>
        <w:t xml:space="preserve"> auf</w:t>
      </w:r>
      <w:r w:rsidR="004247BC">
        <w:rPr>
          <w:rFonts w:ascii="Calibri Light" w:hAnsi="Calibri Light"/>
          <w:sz w:val="22"/>
          <w:szCs w:val="22"/>
        </w:rPr>
        <w:t xml:space="preserve"> der</w:t>
      </w:r>
      <w:r w:rsidRPr="00027EC0">
        <w:rPr>
          <w:rFonts w:ascii="Calibri Light" w:hAnsi="Calibri Light"/>
          <w:sz w:val="22"/>
          <w:szCs w:val="22"/>
        </w:rPr>
        <w:t xml:space="preserve"> Fehler</w:t>
      </w:r>
      <w:r>
        <w:rPr>
          <w:rFonts w:ascii="Calibri Light" w:hAnsi="Calibri Light"/>
          <w:sz w:val="22"/>
          <w:szCs w:val="22"/>
        </w:rPr>
        <w:t>e</w:t>
      </w:r>
      <w:r w:rsidRPr="00027EC0">
        <w:rPr>
          <w:rFonts w:ascii="Calibri Light" w:hAnsi="Calibri Light"/>
          <w:sz w:val="22"/>
          <w:szCs w:val="22"/>
        </w:rPr>
        <w:t>bene</w:t>
      </w:r>
      <w:r>
        <w:rPr>
          <w:rFonts w:ascii="Calibri Light" w:hAnsi="Calibri Light"/>
          <w:sz w:val="22"/>
          <w:szCs w:val="22"/>
        </w:rPr>
        <w:t xml:space="preserve">. </w:t>
      </w:r>
      <w:r w:rsidR="004247BC">
        <w:rPr>
          <w:rFonts w:ascii="Calibri Light" w:hAnsi="Calibri Light"/>
          <w:sz w:val="22"/>
          <w:szCs w:val="22"/>
        </w:rPr>
        <w:t xml:space="preserve"> Im ersten Diagramm werden die Top 5 Fehlerarten dargestellt. Im zweiten Diagramm werden die Top 5 Lieferanten dargestellt, die den größten Fehleranteil aufweisen. In der Tabelle erkennen </w:t>
      </w:r>
      <w:r w:rsidR="00EF52E5">
        <w:rPr>
          <w:rFonts w:ascii="Calibri Light" w:hAnsi="Calibri Light"/>
          <w:sz w:val="22"/>
          <w:szCs w:val="22"/>
        </w:rPr>
        <w:t>Sie die Artikel. Die Tabelle ist absteigend nach den Artikeln mit den größten Fehleranteilen</w:t>
      </w:r>
      <w:r w:rsidR="001D13B6">
        <w:rPr>
          <w:rFonts w:ascii="Calibri Light" w:hAnsi="Calibri Light"/>
          <w:sz w:val="22"/>
          <w:szCs w:val="22"/>
        </w:rPr>
        <w:t xml:space="preserve"> bezogen auf die Liefermengen</w:t>
      </w:r>
      <w:r w:rsidR="00EF52E5">
        <w:rPr>
          <w:rFonts w:ascii="Calibri Light" w:hAnsi="Calibri Light"/>
          <w:sz w:val="22"/>
          <w:szCs w:val="22"/>
        </w:rPr>
        <w:t xml:space="preserve"> sortiert. Der jeweilige Anteil wird zusätzlich </w:t>
      </w:r>
      <w:r w:rsidR="00D72FF2">
        <w:rPr>
          <w:rFonts w:ascii="Calibri Light" w:hAnsi="Calibri Light"/>
          <w:sz w:val="22"/>
          <w:szCs w:val="22"/>
        </w:rPr>
        <w:t>in Form des farblichen Indikators visualisiert.</w:t>
      </w:r>
    </w:p>
    <w:p w14:paraId="79080EEF" w14:textId="77777777" w:rsidR="000359E5" w:rsidRDefault="00D72FF2" w:rsidP="000359E5">
      <w:pPr>
        <w:keepNext/>
        <w:rPr>
          <w:rFonts w:hint="eastAsia"/>
        </w:rPr>
      </w:pPr>
      <w:r>
        <w:rPr>
          <w:rFonts w:ascii="Calibri Light" w:hAnsi="Calibri Light"/>
          <w:noProof/>
          <w:sz w:val="22"/>
          <w:szCs w:val="22"/>
        </w:rPr>
        <w:lastRenderedPageBreak/>
        <w:drawing>
          <wp:inline distT="0" distB="0" distL="0" distR="0" wp14:anchorId="4C06DB98" wp14:editId="6CF7DF14">
            <wp:extent cx="6120130" cy="3165475"/>
            <wp:effectExtent l="0" t="0" r="0" b="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3165475"/>
                    </a:xfrm>
                    <a:prstGeom prst="rect">
                      <a:avLst/>
                    </a:prstGeom>
                  </pic:spPr>
                </pic:pic>
              </a:graphicData>
            </a:graphic>
          </wp:inline>
        </w:drawing>
      </w:r>
    </w:p>
    <w:p w14:paraId="692AF390" w14:textId="51885CE0" w:rsidR="00D72FF2" w:rsidRPr="000359E5" w:rsidRDefault="000359E5" w:rsidP="00BC2844">
      <w:pPr>
        <w:pStyle w:val="Beschriftung"/>
      </w:pPr>
      <w:r w:rsidRPr="000359E5">
        <w:rPr>
          <w:rFonts w:hint="eastAsia"/>
          <w:color w:val="374C80"/>
          <w:sz w:val="18"/>
          <w:szCs w:val="18"/>
        </w:rPr>
        <w:t xml:space="preserve">Abbildung </w:t>
      </w:r>
      <w:r>
        <w:rPr>
          <w:color w:val="374C80"/>
          <w:sz w:val="18"/>
          <w:szCs w:val="18"/>
        </w:rPr>
        <w:fldChar w:fldCharType="begin"/>
      </w:r>
      <w:r>
        <w:rPr>
          <w:color w:val="374C80"/>
          <w:sz w:val="18"/>
          <w:szCs w:val="18"/>
        </w:rPr>
        <w:instrText xml:space="preserve"> </w:instrText>
      </w:r>
      <w:r>
        <w:rPr>
          <w:rFonts w:hint="eastAsia"/>
          <w:color w:val="374C80"/>
          <w:sz w:val="18"/>
          <w:szCs w:val="18"/>
        </w:rPr>
        <w:instrText>SEQ Abbildung \* ARABIC</w:instrText>
      </w:r>
      <w:r>
        <w:rPr>
          <w:color w:val="374C80"/>
          <w:sz w:val="18"/>
          <w:szCs w:val="18"/>
        </w:rPr>
        <w:instrText xml:space="preserve"> </w:instrText>
      </w:r>
      <w:r>
        <w:rPr>
          <w:color w:val="374C80"/>
          <w:sz w:val="18"/>
          <w:szCs w:val="18"/>
        </w:rPr>
        <w:fldChar w:fldCharType="separate"/>
      </w:r>
      <w:r w:rsidR="005F2808">
        <w:rPr>
          <w:noProof/>
          <w:color w:val="374C80"/>
          <w:sz w:val="18"/>
          <w:szCs w:val="18"/>
        </w:rPr>
        <w:t>2</w:t>
      </w:r>
      <w:r>
        <w:rPr>
          <w:color w:val="374C80"/>
          <w:sz w:val="18"/>
          <w:szCs w:val="18"/>
        </w:rPr>
        <w:fldChar w:fldCharType="end"/>
      </w:r>
      <w:r w:rsidRPr="000359E5">
        <w:rPr>
          <w:color w:val="374C80"/>
          <w:sz w:val="18"/>
          <w:szCs w:val="18"/>
        </w:rPr>
        <w:t>:</w:t>
      </w:r>
      <w:r w:rsidRPr="000359E5">
        <w:rPr>
          <w:color w:val="374C80"/>
        </w:rPr>
        <w:t xml:space="preserve"> </w:t>
      </w:r>
      <w:r w:rsidRPr="00916AFB">
        <w:rPr>
          <w:i/>
          <w:iCs/>
          <w:color w:val="374C80"/>
          <w:sz w:val="18"/>
          <w:szCs w:val="18"/>
        </w:rPr>
        <w:t>Visualisierung der Fehleranteile im Wareneingang</w:t>
      </w:r>
    </w:p>
    <w:sectPr w:rsidR="00D72FF2" w:rsidRPr="000359E5">
      <w:headerReference w:type="default" r:id="rId9"/>
      <w:footerReference w:type="default" r:id="rId10"/>
      <w:pgSz w:w="11906" w:h="16838"/>
      <w:pgMar w:top="1318" w:right="1134" w:bottom="1560" w:left="1134" w:header="1134" w:footer="1134"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3341" w14:textId="77777777" w:rsidR="006931D3" w:rsidRDefault="006931D3">
      <w:pPr>
        <w:rPr>
          <w:rFonts w:hint="eastAsia"/>
        </w:rPr>
      </w:pPr>
      <w:r>
        <w:separator/>
      </w:r>
    </w:p>
  </w:endnote>
  <w:endnote w:type="continuationSeparator" w:id="0">
    <w:p w14:paraId="5A914BA4" w14:textId="77777777" w:rsidR="006931D3" w:rsidRDefault="006931D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88E9" w14:textId="77777777" w:rsidR="00AB2E22" w:rsidRDefault="00000000">
    <w:pPr>
      <w:pStyle w:val="Fuzeile"/>
      <w:rPr>
        <w:rFonts w:ascii="Calibri Light" w:hAnsi="Calibri Light"/>
      </w:rPr>
    </w:pPr>
    <w:r>
      <w:rPr>
        <w:rFonts w:ascii="Calibri Light" w:hAnsi="Calibri Light"/>
        <w:sz w:val="16"/>
        <w:szCs w:val="16"/>
      </w:rPr>
      <w:t xml:space="preserve">- </w:t>
    </w:r>
    <w:r>
      <w:rPr>
        <w:rFonts w:ascii="Calibri Light" w:hAnsi="Calibri Light"/>
        <w:sz w:val="16"/>
        <w:szCs w:val="16"/>
      </w:rPr>
      <w:fldChar w:fldCharType="begin"/>
    </w:r>
    <w:r>
      <w:rPr>
        <w:rFonts w:ascii="Calibri Light" w:hAnsi="Calibri Light"/>
        <w:sz w:val="16"/>
        <w:szCs w:val="16"/>
      </w:rPr>
      <w:instrText xml:space="preserve"> PAGE </w:instrText>
    </w:r>
    <w:r>
      <w:rPr>
        <w:rFonts w:ascii="Calibri Light" w:hAnsi="Calibri Light"/>
        <w:sz w:val="16"/>
        <w:szCs w:val="16"/>
      </w:rPr>
      <w:fldChar w:fldCharType="separate"/>
    </w:r>
    <w:r>
      <w:rPr>
        <w:rFonts w:ascii="Calibri Light" w:hAnsi="Calibri Light"/>
        <w:sz w:val="16"/>
        <w:szCs w:val="16"/>
      </w:rPr>
      <w:t>1</w:t>
    </w:r>
    <w:r>
      <w:rPr>
        <w:rFonts w:ascii="Calibri Light" w:hAnsi="Calibri Light"/>
        <w:sz w:val="16"/>
        <w:szCs w:val="16"/>
      </w:rPr>
      <w:fldChar w:fldCharType="end"/>
    </w:r>
    <w:r>
      <w:rPr>
        <w:rFonts w:ascii="Calibri Light" w:hAnsi="Calibri Light"/>
        <w:sz w:val="16"/>
        <w:szCs w:val="16"/>
      </w:rPr>
      <w:t xml:space="preserve"> -  PDAP - Geschäftsbereich der JessenLenz GmbH | Steinmetzstrasse 3 | D-23556 Lübeck | info@pdap.de | Tel.: 0451 – 87 360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3021" w14:textId="77777777" w:rsidR="006931D3" w:rsidRDefault="006931D3">
      <w:pPr>
        <w:rPr>
          <w:rFonts w:hint="eastAsia"/>
        </w:rPr>
      </w:pPr>
      <w:r>
        <w:separator/>
      </w:r>
    </w:p>
  </w:footnote>
  <w:footnote w:type="continuationSeparator" w:id="0">
    <w:p w14:paraId="5A8AFC51" w14:textId="77777777" w:rsidR="006931D3" w:rsidRDefault="006931D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1A9C" w14:textId="77777777" w:rsidR="00AB2E22" w:rsidRDefault="00000000">
    <w:pPr>
      <w:pStyle w:val="Kopfzeile"/>
      <w:tabs>
        <w:tab w:val="clear" w:pos="4819"/>
        <w:tab w:val="clear" w:pos="9638"/>
        <w:tab w:val="center" w:pos="4536"/>
        <w:tab w:val="left" w:pos="5643"/>
        <w:tab w:val="right" w:pos="9072"/>
      </w:tabs>
      <w:jc w:val="right"/>
      <w:rPr>
        <w:rFonts w:hint="eastAsia"/>
      </w:rPr>
    </w:pPr>
    <w:r>
      <w:rPr>
        <w:rFonts w:ascii="Arial" w:hAnsi="Arial"/>
        <w:sz w:val="16"/>
        <w:szCs w:val="16"/>
      </w:rPr>
      <w:t>CAQ System – Prozesse, Daten, Analysen und Projekte</w:t>
    </w:r>
    <w:r>
      <w:rPr>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22"/>
    <w:rsid w:val="00027EC0"/>
    <w:rsid w:val="000359E5"/>
    <w:rsid w:val="001D13B6"/>
    <w:rsid w:val="003F325E"/>
    <w:rsid w:val="004247BC"/>
    <w:rsid w:val="00555239"/>
    <w:rsid w:val="005F2808"/>
    <w:rsid w:val="006931D3"/>
    <w:rsid w:val="007979C2"/>
    <w:rsid w:val="00916AFB"/>
    <w:rsid w:val="00993BA1"/>
    <w:rsid w:val="00AB2E22"/>
    <w:rsid w:val="00B25BA9"/>
    <w:rsid w:val="00B27363"/>
    <w:rsid w:val="00B33476"/>
    <w:rsid w:val="00BC2844"/>
    <w:rsid w:val="00C05E1B"/>
    <w:rsid w:val="00C12C6B"/>
    <w:rsid w:val="00D72FF2"/>
    <w:rsid w:val="00ED3980"/>
    <w:rsid w:val="00EF52E5"/>
    <w:rsid w:val="00FC02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7853"/>
  <w15:docId w15:val="{462C746B-4F24-485B-A5AF-D4CB5577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pPr>
  </w:style>
  <w:style w:type="paragraph" w:styleId="berschrift1">
    <w:name w:val="heading 1"/>
    <w:basedOn w:val="Standard"/>
    <w:next w:val="Standard"/>
    <w:uiPriority w:val="9"/>
    <w:qFormat/>
    <w:pPr>
      <w:keepNext/>
      <w:keepLines/>
      <w:spacing w:before="240"/>
      <w:outlineLvl w:val="0"/>
    </w:pPr>
    <w:rPr>
      <w:rFonts w:ascii="Calibri Light" w:eastAsia="SimSun" w:hAnsi="Calibri Light"/>
      <w:color w:val="374C8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80"/>
      <w:u w:val="single"/>
    </w:rPr>
  </w:style>
  <w:style w:type="character" w:styleId="BesuchterLink">
    <w:name w:val="FollowedHyperlink"/>
    <w:rPr>
      <w:color w:val="80000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rPr>
      <w:rFonts w:ascii="Calibri Light" w:hAnsi="Calibri Light"/>
      <w:sz w:val="22"/>
      <w:szCs w:val="22"/>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Kopf-undFuzeile"/>
  </w:style>
  <w:style w:type="paragraph" w:styleId="Kopfzeile">
    <w:name w:val="header"/>
    <w:basedOn w:val="Kopf-undFuzeile"/>
  </w:style>
  <w:style w:type="paragraph" w:styleId="Abbildungsverzeichnis">
    <w:name w:val="table of figures"/>
    <w:basedOn w:val="Standard"/>
    <w:next w:val="Standard"/>
    <w:uiPriority w:val="99"/>
    <w:unhideWhenUsed/>
    <w:rsid w:val="00BC284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010C-9E11-435F-A34D-F480F8C1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1673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Dokumentation über den Report Wareneingangsauswertung</dc:subject>
  <dc:creator>Mark Tobias Hausmann</dc:creator>
  <dc:description>Dokumentation über den Report Wareneingangsauswertung</dc:description>
  <cp:lastModifiedBy>Mohammed</cp:lastModifiedBy>
  <cp:revision>42</cp:revision>
  <cp:lastPrinted>2022-09-12T14:49:00Z</cp:lastPrinted>
  <dcterms:created xsi:type="dcterms:W3CDTF">2022-09-08T14:17:00Z</dcterms:created>
  <dcterms:modified xsi:type="dcterms:W3CDTF">2022-09-12T14:50:00Z</dcterms:modified>
  <dc:language>de-DE</dc:language>
</cp:coreProperties>
</file>